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3985" w14:textId="77777777" w:rsidR="00663CC7" w:rsidRDefault="00663CC7">
      <w:pPr>
        <w:spacing w:after="0" w:line="259" w:lineRule="auto"/>
        <w:ind w:left="-1190" w:right="43" w:firstLine="0"/>
        <w:jc w:val="left"/>
      </w:pPr>
    </w:p>
    <w:tbl>
      <w:tblPr>
        <w:tblStyle w:val="TableGrid"/>
        <w:tblW w:w="9710" w:type="dxa"/>
        <w:tblInd w:w="-138" w:type="dxa"/>
        <w:tblCellMar>
          <w:top w:w="68" w:type="dxa"/>
          <w:left w:w="104" w:type="dxa"/>
          <w:right w:w="139" w:type="dxa"/>
        </w:tblCellMar>
        <w:tblLook w:val="04A0" w:firstRow="1" w:lastRow="0" w:firstColumn="1" w:lastColumn="0" w:noHBand="0" w:noVBand="1"/>
      </w:tblPr>
      <w:tblGrid>
        <w:gridCol w:w="2938"/>
        <w:gridCol w:w="6772"/>
      </w:tblGrid>
      <w:tr w:rsidR="00663CC7" w14:paraId="3EE7C72C" w14:textId="77777777" w:rsidTr="00550FB0">
        <w:trPr>
          <w:trHeight w:val="731"/>
        </w:trPr>
        <w:tc>
          <w:tcPr>
            <w:tcW w:w="9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6907511" w14:textId="77777777" w:rsidR="00663CC7" w:rsidRDefault="00F9576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IZVJEŠĆE O PROVEDENOM SAVJETOVANJU SA ZAINTERESIRANOM JAVNOŠĆU</w:t>
            </w:r>
          </w:p>
        </w:tc>
      </w:tr>
      <w:tr w:rsidR="00645C2C" w14:paraId="0B14F925" w14:textId="77777777" w:rsidTr="001153FE">
        <w:trPr>
          <w:trHeight w:val="921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0AD16" w14:textId="77777777" w:rsidR="00645C2C" w:rsidRPr="00550FB0" w:rsidRDefault="00645C2C" w:rsidP="00645C2C">
            <w:pPr>
              <w:spacing w:after="0" w:line="259" w:lineRule="auto"/>
              <w:ind w:left="0" w:right="30" w:firstLine="10"/>
              <w:jc w:val="left"/>
              <w:rPr>
                <w:b/>
                <w:bCs/>
              </w:rPr>
            </w:pPr>
            <w:r w:rsidRPr="00550FB0">
              <w:rPr>
                <w:b/>
                <w:bCs/>
              </w:rPr>
              <w:t>Naziv nacrta zakona, drugog propisa ili akta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AAF20" w14:textId="77777777" w:rsidR="00645C2C" w:rsidRPr="00965B0E" w:rsidRDefault="00645C2C" w:rsidP="00645C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Program gradnje komunalne infrastrukture na području Grada Šibenika u 2023. godini</w:t>
            </w:r>
          </w:p>
          <w:p w14:paraId="5BCAB880" w14:textId="6EE342E8" w:rsidR="00645C2C" w:rsidRPr="00550FB0" w:rsidRDefault="00645C2C" w:rsidP="00645C2C">
            <w:pPr>
              <w:spacing w:after="0" w:line="259" w:lineRule="auto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645C2C" w14:paraId="1C3A486B" w14:textId="77777777">
        <w:trPr>
          <w:trHeight w:val="835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B079" w14:textId="77777777" w:rsidR="00645C2C" w:rsidRPr="00550FB0" w:rsidRDefault="00645C2C" w:rsidP="00645C2C">
            <w:pPr>
              <w:spacing w:after="0" w:line="259" w:lineRule="auto"/>
              <w:ind w:firstLine="5"/>
              <w:jc w:val="left"/>
              <w:rPr>
                <w:b/>
                <w:bCs/>
              </w:rPr>
            </w:pPr>
            <w:r w:rsidRPr="00550FB0">
              <w:rPr>
                <w:b/>
                <w:bCs/>
              </w:rPr>
              <w:t>Naziv tijela nadležnog za izradu nacrta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CD5FF" w14:textId="0B998DEF" w:rsidR="00645C2C" w:rsidRPr="001C4DF5" w:rsidRDefault="00645C2C" w:rsidP="00645C2C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1C4DF5">
              <w:rPr>
                <w:szCs w:val="24"/>
              </w:rPr>
              <w:t>Grad Šibenik, Upravni odjel za komunalne djelatnosti</w:t>
            </w:r>
          </w:p>
        </w:tc>
      </w:tr>
      <w:tr w:rsidR="00645C2C" w14:paraId="3C2B13DF" w14:textId="77777777">
        <w:trPr>
          <w:trHeight w:val="835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8EDDE" w14:textId="77777777" w:rsidR="00645C2C" w:rsidRPr="00550FB0" w:rsidRDefault="00645C2C" w:rsidP="00645C2C">
            <w:pPr>
              <w:spacing w:after="0" w:line="259" w:lineRule="auto"/>
              <w:ind w:firstLine="5"/>
              <w:jc w:val="left"/>
              <w:rPr>
                <w:b/>
                <w:bCs/>
              </w:rPr>
            </w:pPr>
            <w:r w:rsidRPr="00550FB0">
              <w:rPr>
                <w:b/>
                <w:bCs/>
              </w:rPr>
              <w:t>Razdoblje savjetovanja (početak i završetak)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A0B95" w14:textId="2A06CC27" w:rsidR="00645C2C" w:rsidRPr="00893D43" w:rsidRDefault="00893D43" w:rsidP="00893D4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  <w:r w:rsidRPr="00893D43">
              <w:rPr>
                <w:szCs w:val="24"/>
              </w:rPr>
              <w:t>11</w:t>
            </w:r>
            <w:r>
              <w:rPr>
                <w:szCs w:val="24"/>
              </w:rPr>
              <w:t>.</w:t>
            </w:r>
            <w:r w:rsidR="00645C2C" w:rsidRPr="00893D43">
              <w:rPr>
                <w:szCs w:val="24"/>
              </w:rPr>
              <w:t xml:space="preserve"> do </w:t>
            </w:r>
            <w:r>
              <w:rPr>
                <w:szCs w:val="24"/>
              </w:rPr>
              <w:t>14</w:t>
            </w:r>
            <w:r w:rsidR="00645C2C" w:rsidRPr="00893D43">
              <w:rPr>
                <w:szCs w:val="24"/>
              </w:rPr>
              <w:t xml:space="preserve">. </w:t>
            </w:r>
            <w:r>
              <w:rPr>
                <w:szCs w:val="24"/>
              </w:rPr>
              <w:t>11</w:t>
            </w:r>
            <w:r w:rsidR="00645C2C" w:rsidRPr="00893D43">
              <w:rPr>
                <w:szCs w:val="24"/>
              </w:rPr>
              <w:t>. 202</w:t>
            </w:r>
            <w:r>
              <w:rPr>
                <w:szCs w:val="24"/>
              </w:rPr>
              <w:t>2</w:t>
            </w:r>
            <w:r w:rsidR="00645C2C" w:rsidRPr="00893D43">
              <w:rPr>
                <w:szCs w:val="24"/>
              </w:rPr>
              <w:t>.</w:t>
            </w:r>
          </w:p>
        </w:tc>
      </w:tr>
      <w:tr w:rsidR="00645C2C" w14:paraId="41B626CD" w14:textId="77777777">
        <w:trPr>
          <w:trHeight w:val="3325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61A17" w14:textId="77777777" w:rsidR="00645C2C" w:rsidRPr="00550FB0" w:rsidRDefault="00645C2C" w:rsidP="00645C2C">
            <w:pPr>
              <w:spacing w:after="0" w:line="259" w:lineRule="auto"/>
              <w:ind w:right="112" w:firstLine="0"/>
              <w:jc w:val="left"/>
              <w:rPr>
                <w:b/>
                <w:bCs/>
              </w:rPr>
            </w:pPr>
            <w:r w:rsidRPr="00550FB0">
              <w:rPr>
                <w:b/>
                <w:bCs/>
              </w:rPr>
              <w:t>Obrazloženje razloga i ciljeva koji se žele postići donošenjem akta odnosno drugog dokumenta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6A077" w14:textId="77777777" w:rsidR="00645C2C" w:rsidRDefault="00645C2C" w:rsidP="00645C2C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D61651">
              <w:rPr>
                <w:rFonts w:ascii="Times New Roman" w:hAnsi="Times New Roman" w:cs="Times New Roman"/>
              </w:rPr>
              <w:t xml:space="preserve">Sukladno članku 67. stavku 1. Zakona o komunalnom gospodarstvu („Narodne novine“, broj 68/18, 110/18 i 32/20), Gradsko vijeće Grada Šibenika za svaku kalendarsku godinu donosi Program gradnje komunalne infrastrukture. </w:t>
            </w:r>
          </w:p>
          <w:p w14:paraId="4A36B418" w14:textId="77777777" w:rsidR="00645C2C" w:rsidRDefault="00645C2C" w:rsidP="00645C2C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D61651">
              <w:rPr>
                <w:rFonts w:ascii="Times New Roman" w:hAnsi="Times New Roman" w:cs="Times New Roman"/>
              </w:rPr>
              <w:t>Građenje komunalne infrastrukture u smislu Zakona o komunalnom gospodarstvu obuhvaća radnje i radove rješavanja imovinskopravnih odnosa na zemljištu za građenje komunalne infrastrukture, uklanjanje i/ili izmještanje postojećih građevina na zemljištu za građenje komunalne infrastrukture i radove na sanaciji tog zemljišta, pribavljanje projekata i druge dokumentacije potrebne za izdavanje dozvola i drugih akata za građenje i uporabu komunalne infrastrukture, te građenje komunalne infrastrukture u smislu zakona kojim se uređuje gradnja građevina.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FA7E5C5" w14:textId="77777777" w:rsidR="00645C2C" w:rsidRPr="00D61651" w:rsidRDefault="00645C2C" w:rsidP="00645C2C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D61651">
              <w:rPr>
                <w:rFonts w:ascii="Times New Roman" w:hAnsi="Times New Roman" w:cs="Times New Roman"/>
              </w:rPr>
              <w:t>Procjena troškova građenja komunalne infrastrukture obavlja se prema načelu punog pokrića troškova građenja komunalne infrastrukture određenog programom građenja komunalne infrastrukture.</w:t>
            </w:r>
            <w:r w:rsidRPr="00D61651">
              <w:rPr>
                <w:rFonts w:ascii="Times New Roman" w:hAnsi="Times New Roman" w:cs="Times New Roman"/>
              </w:rPr>
              <w:tab/>
              <w:t>Troškovi građenja komunalne infrastrukture procjenjuju se na temelju troškova građenja usporedivih građevina komunalne infrastrukture u godini koja prethodi planskom razdoblju i zabilježenog indeksa povećanja odnosno smanjenja troškova građenja.</w:t>
            </w:r>
          </w:p>
          <w:p w14:paraId="5C22E4F3" w14:textId="7A4A0BE1" w:rsidR="00645C2C" w:rsidRPr="001C4DF5" w:rsidRDefault="00645C2C" w:rsidP="00645C2C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919F5" w14:paraId="5D558A70" w14:textId="77777777">
        <w:trPr>
          <w:trHeight w:val="1996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B6F3A" w14:textId="77777777" w:rsidR="00B919F5" w:rsidRPr="00550FB0" w:rsidRDefault="00B919F5" w:rsidP="00B919F5">
            <w:pPr>
              <w:spacing w:after="0" w:line="259" w:lineRule="auto"/>
              <w:ind w:left="14" w:right="40" w:firstLine="5"/>
              <w:jc w:val="left"/>
              <w:rPr>
                <w:b/>
                <w:bCs/>
              </w:rPr>
            </w:pPr>
            <w:r w:rsidRPr="00550FB0">
              <w:rPr>
                <w:b/>
                <w:bCs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6F582" w14:textId="6C3000C8" w:rsidR="00B919F5" w:rsidRPr="00AD200D" w:rsidRDefault="00B919F5" w:rsidP="00B919F5">
            <w:pPr>
              <w:pStyle w:val="Odlomakpopisa"/>
              <w:numPr>
                <w:ilvl w:val="0"/>
                <w:numId w:val="2"/>
              </w:numPr>
              <w:spacing w:after="0" w:line="259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AD200D">
              <w:rPr>
                <w:rFonts w:ascii="Times New Roman" w:eastAsia="Simsun (Founder Extended)" w:hAnsi="Times New Roman" w:cs="Times New Roman"/>
                <w:szCs w:val="24"/>
                <w:lang w:eastAsia="zh-CN"/>
              </w:rPr>
              <w:t>Marija Brajković u ime stanara ulice Put Vida u Njivicama</w:t>
            </w:r>
            <w:r w:rsidR="00AD200D">
              <w:rPr>
                <w:rFonts w:ascii="Times New Roman" w:eastAsia="Simsun (Founder Extended)" w:hAnsi="Times New Roman" w:cs="Times New Roman"/>
                <w:szCs w:val="24"/>
                <w:lang w:eastAsia="zh-CN"/>
              </w:rPr>
              <w:t>.</w:t>
            </w:r>
          </w:p>
        </w:tc>
      </w:tr>
      <w:tr w:rsidR="00B919F5" w14:paraId="02F62583" w14:textId="77777777" w:rsidTr="00E83771">
        <w:trPr>
          <w:trHeight w:val="4384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E19A" w14:textId="77777777" w:rsidR="00B919F5" w:rsidRPr="00550FB0" w:rsidRDefault="00B919F5" w:rsidP="00B919F5">
            <w:pPr>
              <w:spacing w:after="0" w:line="259" w:lineRule="auto"/>
              <w:ind w:left="14" w:right="467" w:firstLine="10"/>
              <w:jc w:val="left"/>
              <w:rPr>
                <w:b/>
                <w:bCs/>
              </w:rPr>
            </w:pPr>
            <w:r w:rsidRPr="00550FB0">
              <w:rPr>
                <w:b/>
                <w:bCs/>
              </w:rPr>
              <w:lastRenderedPageBreak/>
              <w:t>Primjedbe, komentari i prijedlozi na pojedine odredbe javnog poziva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1CDDA" w14:textId="0C8AEE2D" w:rsidR="00B919F5" w:rsidRDefault="00B919F5" w:rsidP="00B919F5">
            <w:pPr>
              <w:spacing w:after="0" w:line="259" w:lineRule="auto"/>
              <w:ind w:left="352" w:firstLine="5"/>
              <w:jc w:val="left"/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</w:pPr>
            <w:r w:rsidRPr="00AD200D">
              <w:rPr>
                <w:rFonts w:ascii="Times New Roman" w:eastAsia="Simsun (Founder Extended)" w:hAnsi="Times New Roman" w:cs="Times New Roman"/>
                <w:szCs w:val="24"/>
                <w:lang w:eastAsia="zh-CN"/>
              </w:rPr>
              <w:t>Predlaže</w:t>
            </w:r>
            <w:r w:rsidR="00BD2D8D" w:rsidRPr="00AD200D">
              <w:rPr>
                <w:rFonts w:ascii="Times New Roman" w:eastAsia="Simsun (Founder Extended)" w:hAnsi="Times New Roman" w:cs="Times New Roman"/>
                <w:szCs w:val="24"/>
                <w:lang w:eastAsia="zh-CN"/>
              </w:rPr>
              <w:t xml:space="preserve"> se</w:t>
            </w:r>
            <w:r w:rsidRPr="00AD200D">
              <w:rPr>
                <w:rFonts w:ascii="Times New Roman" w:eastAsia="Simsun (Founder Extended)" w:hAnsi="Times New Roman" w:cs="Times New Roman"/>
                <w:szCs w:val="24"/>
                <w:lang w:eastAsia="zh-CN"/>
              </w:rPr>
              <w:t xml:space="preserve"> da se u prijedlog Programa gradnje komunalne infrastrukture na području Grada Šibenika u 2023. godini uvrsti izgradnja i uređenje ulične mreže za kuće u dijelu ulice Put Vida u Njivicama te njezino opremanje javnom rasvjetom.</w:t>
            </w:r>
            <w:r w:rsidR="00BD2D8D" w:rsidRPr="00AD200D">
              <w:rPr>
                <w:rFonts w:ascii="Times New Roman" w:eastAsia="Simsun (Founder Extended)" w:hAnsi="Times New Roman" w:cs="Times New Roman"/>
                <w:szCs w:val="24"/>
                <w:lang w:eastAsia="zh-CN"/>
              </w:rPr>
              <w:t xml:space="preserve"> Da v</w:t>
            </w:r>
            <w:r w:rsidRPr="00AD200D">
              <w:rPr>
                <w:rFonts w:ascii="Times New Roman" w:eastAsia="Simsun (Founder Extended)" w:hAnsi="Times New Roman" w:cs="Times New Roman"/>
                <w:szCs w:val="24"/>
                <w:lang w:eastAsia="zh-CN"/>
              </w:rPr>
              <w:t>eć više od 35 godina stan</w:t>
            </w:r>
            <w:r w:rsidR="00BD2D8D" w:rsidRPr="00AD200D">
              <w:rPr>
                <w:rFonts w:ascii="Times New Roman" w:eastAsia="Simsun (Founder Extended)" w:hAnsi="Times New Roman" w:cs="Times New Roman"/>
                <w:szCs w:val="24"/>
                <w:lang w:eastAsia="zh-CN"/>
              </w:rPr>
              <w:t>ari</w:t>
            </w:r>
            <w:r w:rsidRPr="00AD200D">
              <w:rPr>
                <w:rFonts w:ascii="Times New Roman" w:eastAsia="Simsun (Founder Extended)" w:hAnsi="Times New Roman" w:cs="Times New Roman"/>
                <w:szCs w:val="24"/>
                <w:lang w:eastAsia="zh-CN"/>
              </w:rPr>
              <w:t xml:space="preserve"> u ulici Put Vida u Njivicama (kućni broj 22, čest. zgr. 172/5 K.O. Šibenik),  nema</w:t>
            </w:r>
            <w:r w:rsidR="00BD2D8D" w:rsidRPr="00AD200D">
              <w:rPr>
                <w:rFonts w:ascii="Times New Roman" w:eastAsia="Simsun (Founder Extended)" w:hAnsi="Times New Roman" w:cs="Times New Roman"/>
                <w:szCs w:val="24"/>
                <w:lang w:eastAsia="zh-CN"/>
              </w:rPr>
              <w:t>ju</w:t>
            </w:r>
            <w:r w:rsidRPr="00AD200D">
              <w:rPr>
                <w:rFonts w:ascii="Times New Roman" w:eastAsia="Simsun (Founder Extended)" w:hAnsi="Times New Roman" w:cs="Times New Roman"/>
                <w:szCs w:val="24"/>
                <w:lang w:eastAsia="zh-CN"/>
              </w:rPr>
              <w:t xml:space="preserve"> riješenu osnovnu komunalnu infrastrukturu. Naime, u ovom dijelu Njivica ne samo da nije osigurana javna rasvjeta ili priključenje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na 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sustav odvodnje otpadnih voda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,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nego ne postoji niti adekvatan put, odnosno cesta koja povezuje 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nekolicinu kuća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s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ostatkom naselja zbog čega su 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njezini stanari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izloženi stalnoj opasnosti, osobito tijekom ljetnih mjeseci u vrijeme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povećanog prometovanja, budući da 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se 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kuć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ama može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prići jedino i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isključivo s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magistrale. Zbog navedenih problema </w:t>
            </w:r>
            <w:r w:rsidR="00BD2D8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da 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je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t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ijekom ljeta 2014. godine održan 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jedan u nizu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mnogobrojnih 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sastanak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a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na kojem je bio nazočan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predstavnik Gradske četvrti Crnica, pročelnik Upravnog odjela za komunalne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djelatnosti gosp. Miroslav Lucić te stanari obližnjih kuća, ali situacija na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terenu je, usprkos obećanjima kako će se navedeni problemi početi rješavat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i 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odmah i sad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i dalje identična. </w:t>
            </w:r>
            <w:r w:rsidR="00BD2D8D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Podnositeljica primjedbi sma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tra kako je došlo krajnje vrijeme da se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ulože sredstva u ovaj dio Njivica i da se riješi ovaj problem s kojim se borimo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već preko 3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5</w:t>
            </w:r>
            <w:r w:rsidRPr="0001380C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godina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, osobito iz razloga što je ovaj dio grada zadnjim izmjenama Odluke o komunalnoj naknadi svrstan u I. zonu te bi stoga trebao predstavljati područje koje je najbolje uređeno i opremljeno komunalnom infrastrukturom, što zasigurno nije.</w:t>
            </w:r>
          </w:p>
          <w:p w14:paraId="0B213739" w14:textId="69347A89" w:rsidR="00B919F5" w:rsidRDefault="00B919F5" w:rsidP="00B919F5">
            <w:pPr>
              <w:spacing w:after="0" w:line="259" w:lineRule="auto"/>
              <w:ind w:left="352" w:firstLine="5"/>
              <w:jc w:val="left"/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Prijedlog: U Programu u tablici II. Građevine komunalne infrastrukture koje će se graditi u uređenim dijelovima građevinskog područja, iza točke 8. dodati točku 9. koja glasi: Izgradnja i uređenje ulice Put Vida u Njivicama.</w:t>
            </w:r>
          </w:p>
          <w:p w14:paraId="4CC46D3E" w14:textId="718F853A" w:rsidR="00B919F5" w:rsidRDefault="00B919F5" w:rsidP="00B919F5">
            <w:pPr>
              <w:spacing w:after="0" w:line="259" w:lineRule="auto"/>
              <w:ind w:left="352" w:firstLine="5"/>
              <w:jc w:val="left"/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</w:pPr>
            <w:r w:rsidRPr="00893D43">
              <w:rPr>
                <w:rFonts w:ascii="Segoe UI" w:eastAsia="Simsun (Founder Extended)" w:hAnsi="Segoe UI" w:cs="Segoe UI"/>
                <w:b/>
                <w:bCs/>
                <w:sz w:val="20"/>
                <w:szCs w:val="20"/>
                <w:lang w:eastAsia="zh-CN"/>
              </w:rPr>
              <w:t>Odgovor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:</w:t>
            </w:r>
            <w:r w:rsidR="00893D43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 Ne prihvaća se</w:t>
            </w:r>
            <w:r w:rsidR="00C949C6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>.</w:t>
            </w:r>
          </w:p>
          <w:p w14:paraId="29F6E79A" w14:textId="020F4AF7" w:rsidR="00C949C6" w:rsidRPr="00C949C6" w:rsidRDefault="00C949C6" w:rsidP="00B919F5">
            <w:pPr>
              <w:spacing w:after="0" w:line="259" w:lineRule="auto"/>
              <w:ind w:left="352" w:firstLine="5"/>
              <w:jc w:val="left"/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</w:pPr>
            <w:r w:rsidRPr="00C949C6"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Komunalno uređenje predmetne ulice rješavati </w:t>
            </w:r>
            <w:r>
              <w:rPr>
                <w:rFonts w:ascii="Segoe UI" w:eastAsia="Simsun (Founder Extended)" w:hAnsi="Segoe UI" w:cs="Segoe UI"/>
                <w:sz w:val="20"/>
                <w:szCs w:val="20"/>
                <w:lang w:eastAsia="zh-CN"/>
              </w:rPr>
              <w:t xml:space="preserve">će se dijelom kroz </w:t>
            </w:r>
          </w:p>
          <w:p w14:paraId="6B465D03" w14:textId="77777777" w:rsidR="00AD200D" w:rsidRDefault="00C949C6" w:rsidP="00B919F5">
            <w:pPr>
              <w:spacing w:after="0" w:line="259" w:lineRule="auto"/>
              <w:ind w:left="352" w:firstLine="5"/>
              <w:jc w:val="left"/>
            </w:pPr>
            <w:r>
              <w:t>Točku 1. Glave I. Programa – izgradnja javne rasvjete u GČ i MO, a dijelom kroz Program održavanja komunalne infrastrukture u Gradu Šibeniku u 2023. godini – održavanje nerazvrstanih cesta.</w:t>
            </w:r>
          </w:p>
          <w:p w14:paraId="5B3E72CA" w14:textId="21D1D54D" w:rsidR="00B919F5" w:rsidRDefault="00AD200D" w:rsidP="00B919F5">
            <w:pPr>
              <w:spacing w:after="0" w:line="259" w:lineRule="auto"/>
              <w:ind w:left="352" w:firstLine="5"/>
              <w:jc w:val="left"/>
            </w:pPr>
            <w:r>
              <w:t>Nadalje, kompletno i konačno rješavanje cijelog područja očekuje se izgradnjom rotora Njivice kojeg financiraju Hrvatske ceste.</w:t>
            </w:r>
            <w:r w:rsidR="00C949C6">
              <w:t xml:space="preserve"> </w:t>
            </w:r>
          </w:p>
          <w:p w14:paraId="046071B0" w14:textId="269FCB14" w:rsidR="00B919F5" w:rsidRDefault="00B919F5" w:rsidP="00B919F5">
            <w:pPr>
              <w:spacing w:after="0" w:line="259" w:lineRule="auto"/>
              <w:ind w:left="352" w:firstLine="5"/>
              <w:jc w:val="left"/>
            </w:pPr>
          </w:p>
        </w:tc>
      </w:tr>
    </w:tbl>
    <w:p w14:paraId="3809CB63" w14:textId="762BB54A" w:rsidR="00663CC7" w:rsidRDefault="00663CC7" w:rsidP="00FF3292">
      <w:pPr>
        <w:ind w:left="0" w:firstLine="0"/>
      </w:pPr>
    </w:p>
    <w:p w14:paraId="6ACC62AA" w14:textId="07D880DE" w:rsidR="00663CC7" w:rsidRDefault="00F95763" w:rsidP="00550FB0">
      <w:pPr>
        <w:spacing w:after="240" w:line="221" w:lineRule="auto"/>
        <w:ind w:left="6" w:hanging="6"/>
      </w:pPr>
      <w:r>
        <w:t>Sukladno odredbama članka 11. stavka 4. Zakona o pravu na pristup informacijama (NN 25/13 i 85/15), Grad Šibenik izradio je ovo izvješće o savjetovanju s javnošću i objavit će ga na svojoj internetskoj stranici</w:t>
      </w:r>
      <w:r w:rsidR="00AD200D">
        <w:t>, te dostaviti tijelu koje usvaja opće akt.</w:t>
      </w:r>
    </w:p>
    <w:p w14:paraId="17D4688B" w14:textId="3968466F" w:rsidR="00D557E8" w:rsidRDefault="00D557E8" w:rsidP="00550FB0">
      <w:pPr>
        <w:spacing w:after="240" w:line="221" w:lineRule="auto"/>
        <w:ind w:left="6" w:hanging="6"/>
      </w:pPr>
      <w:r>
        <w:t>Šibenik, 15.11.2022.</w:t>
      </w:r>
    </w:p>
    <w:p w14:paraId="5391F53D" w14:textId="77777777" w:rsidR="00663CC7" w:rsidRDefault="00F95763" w:rsidP="00550FB0">
      <w:pPr>
        <w:pStyle w:val="Naslov1"/>
        <w:ind w:left="5245" w:right="628" w:firstLine="0"/>
        <w:jc w:val="center"/>
      </w:pPr>
      <w:r>
        <w:t>GRAD ŠIBENIK</w:t>
      </w:r>
    </w:p>
    <w:p w14:paraId="6C47EB20" w14:textId="710378DC" w:rsidR="00FF3292" w:rsidRDefault="00F95763" w:rsidP="00550FB0">
      <w:pPr>
        <w:spacing w:after="120" w:line="221" w:lineRule="auto"/>
        <w:ind w:left="5245" w:firstLine="0"/>
        <w:jc w:val="center"/>
      </w:pPr>
      <w:r>
        <w:t xml:space="preserve">Upravni odjel za </w:t>
      </w:r>
      <w:r w:rsidR="00FF3292">
        <w:t>komunalne djelatnosti</w:t>
      </w:r>
      <w:r w:rsidR="00550FB0">
        <w:br/>
      </w:r>
      <w:r w:rsidR="00FF3292">
        <w:t>Pročelnik: Ante Nakić, struč.spec.ing.aedif</w:t>
      </w:r>
    </w:p>
    <w:p w14:paraId="62F8B4FC" w14:textId="266004A9" w:rsidR="00663CC7" w:rsidRDefault="00663CC7">
      <w:pPr>
        <w:pStyle w:val="Naslov1"/>
        <w:ind w:left="10" w:right="816"/>
      </w:pPr>
    </w:p>
    <w:sectPr w:rsidR="00663CC7" w:rsidSect="00550FB0">
      <w:pgSz w:w="11900" w:h="16820"/>
      <w:pgMar w:top="629" w:right="1094" w:bottom="993" w:left="11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7978"/>
    <w:multiLevelType w:val="hybridMultilevel"/>
    <w:tmpl w:val="5220F7B6"/>
    <w:lvl w:ilvl="0" w:tplc="CCC64256">
      <w:start w:val="1"/>
      <w:numFmt w:val="decimalZero"/>
      <w:lvlText w:val="%1."/>
      <w:lvlJc w:val="left"/>
      <w:pPr>
        <w:ind w:left="384" w:hanging="360"/>
      </w:pPr>
      <w:rPr>
        <w:rFonts w:hint="default"/>
        <w:sz w:val="26"/>
      </w:rPr>
    </w:lvl>
    <w:lvl w:ilvl="1" w:tplc="041A0019" w:tentative="1">
      <w:start w:val="1"/>
      <w:numFmt w:val="lowerLetter"/>
      <w:lvlText w:val="%2."/>
      <w:lvlJc w:val="left"/>
      <w:pPr>
        <w:ind w:left="1104" w:hanging="360"/>
      </w:pPr>
    </w:lvl>
    <w:lvl w:ilvl="2" w:tplc="041A001B" w:tentative="1">
      <w:start w:val="1"/>
      <w:numFmt w:val="lowerRoman"/>
      <w:lvlText w:val="%3."/>
      <w:lvlJc w:val="right"/>
      <w:pPr>
        <w:ind w:left="1824" w:hanging="180"/>
      </w:pPr>
    </w:lvl>
    <w:lvl w:ilvl="3" w:tplc="041A000F" w:tentative="1">
      <w:start w:val="1"/>
      <w:numFmt w:val="decimal"/>
      <w:lvlText w:val="%4."/>
      <w:lvlJc w:val="left"/>
      <w:pPr>
        <w:ind w:left="2544" w:hanging="360"/>
      </w:pPr>
    </w:lvl>
    <w:lvl w:ilvl="4" w:tplc="041A0019" w:tentative="1">
      <w:start w:val="1"/>
      <w:numFmt w:val="lowerLetter"/>
      <w:lvlText w:val="%5."/>
      <w:lvlJc w:val="left"/>
      <w:pPr>
        <w:ind w:left="3264" w:hanging="360"/>
      </w:pPr>
    </w:lvl>
    <w:lvl w:ilvl="5" w:tplc="041A001B" w:tentative="1">
      <w:start w:val="1"/>
      <w:numFmt w:val="lowerRoman"/>
      <w:lvlText w:val="%6."/>
      <w:lvlJc w:val="right"/>
      <w:pPr>
        <w:ind w:left="3984" w:hanging="180"/>
      </w:pPr>
    </w:lvl>
    <w:lvl w:ilvl="6" w:tplc="041A000F" w:tentative="1">
      <w:start w:val="1"/>
      <w:numFmt w:val="decimal"/>
      <w:lvlText w:val="%7."/>
      <w:lvlJc w:val="left"/>
      <w:pPr>
        <w:ind w:left="4704" w:hanging="360"/>
      </w:pPr>
    </w:lvl>
    <w:lvl w:ilvl="7" w:tplc="041A0019" w:tentative="1">
      <w:start w:val="1"/>
      <w:numFmt w:val="lowerLetter"/>
      <w:lvlText w:val="%8."/>
      <w:lvlJc w:val="left"/>
      <w:pPr>
        <w:ind w:left="5424" w:hanging="360"/>
      </w:pPr>
    </w:lvl>
    <w:lvl w:ilvl="8" w:tplc="041A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1050721C"/>
    <w:multiLevelType w:val="hybridMultilevel"/>
    <w:tmpl w:val="C10A3B9A"/>
    <w:lvl w:ilvl="0" w:tplc="77AC7F6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5" w:hanging="360"/>
      </w:pPr>
    </w:lvl>
    <w:lvl w:ilvl="2" w:tplc="041A001B" w:tentative="1">
      <w:start w:val="1"/>
      <w:numFmt w:val="lowerRoman"/>
      <w:lvlText w:val="%3."/>
      <w:lvlJc w:val="right"/>
      <w:pPr>
        <w:ind w:left="2165" w:hanging="180"/>
      </w:pPr>
    </w:lvl>
    <w:lvl w:ilvl="3" w:tplc="041A000F" w:tentative="1">
      <w:start w:val="1"/>
      <w:numFmt w:val="decimal"/>
      <w:lvlText w:val="%4."/>
      <w:lvlJc w:val="left"/>
      <w:pPr>
        <w:ind w:left="2885" w:hanging="360"/>
      </w:pPr>
    </w:lvl>
    <w:lvl w:ilvl="4" w:tplc="041A0019" w:tentative="1">
      <w:start w:val="1"/>
      <w:numFmt w:val="lowerLetter"/>
      <w:lvlText w:val="%5."/>
      <w:lvlJc w:val="left"/>
      <w:pPr>
        <w:ind w:left="3605" w:hanging="360"/>
      </w:pPr>
    </w:lvl>
    <w:lvl w:ilvl="5" w:tplc="041A001B" w:tentative="1">
      <w:start w:val="1"/>
      <w:numFmt w:val="lowerRoman"/>
      <w:lvlText w:val="%6."/>
      <w:lvlJc w:val="right"/>
      <w:pPr>
        <w:ind w:left="4325" w:hanging="180"/>
      </w:pPr>
    </w:lvl>
    <w:lvl w:ilvl="6" w:tplc="041A000F" w:tentative="1">
      <w:start w:val="1"/>
      <w:numFmt w:val="decimal"/>
      <w:lvlText w:val="%7."/>
      <w:lvlJc w:val="left"/>
      <w:pPr>
        <w:ind w:left="5045" w:hanging="360"/>
      </w:pPr>
    </w:lvl>
    <w:lvl w:ilvl="7" w:tplc="041A0019" w:tentative="1">
      <w:start w:val="1"/>
      <w:numFmt w:val="lowerLetter"/>
      <w:lvlText w:val="%8."/>
      <w:lvlJc w:val="left"/>
      <w:pPr>
        <w:ind w:left="5765" w:hanging="360"/>
      </w:pPr>
    </w:lvl>
    <w:lvl w:ilvl="8" w:tplc="041A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1C884B7F"/>
    <w:multiLevelType w:val="hybridMultilevel"/>
    <w:tmpl w:val="3D203FCC"/>
    <w:lvl w:ilvl="0" w:tplc="2EC4837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F43E8B14">
      <w:numFmt w:val="bullet"/>
      <w:lvlText w:val="-"/>
      <w:lvlJc w:val="left"/>
      <w:pPr>
        <w:ind w:left="1085" w:hanging="360"/>
      </w:pPr>
      <w:rPr>
        <w:rFonts w:ascii="Calibri" w:eastAsia="Calibr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1805" w:hanging="180"/>
      </w:pPr>
    </w:lvl>
    <w:lvl w:ilvl="3" w:tplc="041A000F" w:tentative="1">
      <w:start w:val="1"/>
      <w:numFmt w:val="decimal"/>
      <w:lvlText w:val="%4."/>
      <w:lvlJc w:val="left"/>
      <w:pPr>
        <w:ind w:left="2525" w:hanging="360"/>
      </w:pPr>
    </w:lvl>
    <w:lvl w:ilvl="4" w:tplc="041A0019" w:tentative="1">
      <w:start w:val="1"/>
      <w:numFmt w:val="lowerLetter"/>
      <w:lvlText w:val="%5."/>
      <w:lvlJc w:val="left"/>
      <w:pPr>
        <w:ind w:left="3245" w:hanging="360"/>
      </w:pPr>
    </w:lvl>
    <w:lvl w:ilvl="5" w:tplc="041A001B" w:tentative="1">
      <w:start w:val="1"/>
      <w:numFmt w:val="lowerRoman"/>
      <w:lvlText w:val="%6."/>
      <w:lvlJc w:val="right"/>
      <w:pPr>
        <w:ind w:left="3965" w:hanging="180"/>
      </w:pPr>
    </w:lvl>
    <w:lvl w:ilvl="6" w:tplc="041A000F" w:tentative="1">
      <w:start w:val="1"/>
      <w:numFmt w:val="decimal"/>
      <w:lvlText w:val="%7."/>
      <w:lvlJc w:val="left"/>
      <w:pPr>
        <w:ind w:left="4685" w:hanging="360"/>
      </w:pPr>
    </w:lvl>
    <w:lvl w:ilvl="7" w:tplc="041A0019" w:tentative="1">
      <w:start w:val="1"/>
      <w:numFmt w:val="lowerLetter"/>
      <w:lvlText w:val="%8."/>
      <w:lvlJc w:val="left"/>
      <w:pPr>
        <w:ind w:left="5405" w:hanging="360"/>
      </w:pPr>
    </w:lvl>
    <w:lvl w:ilvl="8" w:tplc="041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1D947B95"/>
    <w:multiLevelType w:val="hybridMultilevel"/>
    <w:tmpl w:val="A0C88D86"/>
    <w:lvl w:ilvl="0" w:tplc="6EF41FEA">
      <w:start w:val="1"/>
      <w:numFmt w:val="bullet"/>
      <w:lvlText w:val="-"/>
      <w:lvlJc w:val="left"/>
      <w:pPr>
        <w:ind w:left="3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1F715EA4"/>
    <w:multiLevelType w:val="hybridMultilevel"/>
    <w:tmpl w:val="1374B928"/>
    <w:lvl w:ilvl="0" w:tplc="6EF41FEA">
      <w:start w:val="1"/>
      <w:numFmt w:val="bullet"/>
      <w:lvlText w:val="-"/>
      <w:lvlJc w:val="left"/>
      <w:pPr>
        <w:ind w:left="72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05E5B1D"/>
    <w:multiLevelType w:val="hybridMultilevel"/>
    <w:tmpl w:val="E2FC8164"/>
    <w:lvl w:ilvl="0" w:tplc="77AC7F6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4" w:hanging="360"/>
      </w:pPr>
    </w:lvl>
    <w:lvl w:ilvl="2" w:tplc="041A001B" w:tentative="1">
      <w:start w:val="1"/>
      <w:numFmt w:val="lowerRoman"/>
      <w:lvlText w:val="%3."/>
      <w:lvlJc w:val="right"/>
      <w:pPr>
        <w:ind w:left="1814" w:hanging="180"/>
      </w:pPr>
    </w:lvl>
    <w:lvl w:ilvl="3" w:tplc="041A000F" w:tentative="1">
      <w:start w:val="1"/>
      <w:numFmt w:val="decimal"/>
      <w:lvlText w:val="%4."/>
      <w:lvlJc w:val="left"/>
      <w:pPr>
        <w:ind w:left="2534" w:hanging="360"/>
      </w:pPr>
    </w:lvl>
    <w:lvl w:ilvl="4" w:tplc="041A0019" w:tentative="1">
      <w:start w:val="1"/>
      <w:numFmt w:val="lowerLetter"/>
      <w:lvlText w:val="%5."/>
      <w:lvlJc w:val="left"/>
      <w:pPr>
        <w:ind w:left="3254" w:hanging="360"/>
      </w:pPr>
    </w:lvl>
    <w:lvl w:ilvl="5" w:tplc="041A001B" w:tentative="1">
      <w:start w:val="1"/>
      <w:numFmt w:val="lowerRoman"/>
      <w:lvlText w:val="%6."/>
      <w:lvlJc w:val="right"/>
      <w:pPr>
        <w:ind w:left="3974" w:hanging="180"/>
      </w:pPr>
    </w:lvl>
    <w:lvl w:ilvl="6" w:tplc="041A000F" w:tentative="1">
      <w:start w:val="1"/>
      <w:numFmt w:val="decimal"/>
      <w:lvlText w:val="%7."/>
      <w:lvlJc w:val="left"/>
      <w:pPr>
        <w:ind w:left="4694" w:hanging="360"/>
      </w:pPr>
    </w:lvl>
    <w:lvl w:ilvl="7" w:tplc="041A0019" w:tentative="1">
      <w:start w:val="1"/>
      <w:numFmt w:val="lowerLetter"/>
      <w:lvlText w:val="%8."/>
      <w:lvlJc w:val="left"/>
      <w:pPr>
        <w:ind w:left="5414" w:hanging="360"/>
      </w:pPr>
    </w:lvl>
    <w:lvl w:ilvl="8" w:tplc="041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7BEC6D0F"/>
    <w:multiLevelType w:val="hybridMultilevel"/>
    <w:tmpl w:val="9AD8FFA4"/>
    <w:lvl w:ilvl="0" w:tplc="386252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141087">
    <w:abstractNumId w:val="0"/>
  </w:num>
  <w:num w:numId="2" w16cid:durableId="1717271569">
    <w:abstractNumId w:val="2"/>
  </w:num>
  <w:num w:numId="3" w16cid:durableId="1885602608">
    <w:abstractNumId w:val="5"/>
  </w:num>
  <w:num w:numId="4" w16cid:durableId="257518631">
    <w:abstractNumId w:val="3"/>
  </w:num>
  <w:num w:numId="5" w16cid:durableId="142359235">
    <w:abstractNumId w:val="6"/>
  </w:num>
  <w:num w:numId="6" w16cid:durableId="2092971913">
    <w:abstractNumId w:val="1"/>
  </w:num>
  <w:num w:numId="7" w16cid:durableId="983775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CC7"/>
    <w:rsid w:val="000E4EF9"/>
    <w:rsid w:val="001C4DF5"/>
    <w:rsid w:val="00423CF7"/>
    <w:rsid w:val="00441F0A"/>
    <w:rsid w:val="00525FA9"/>
    <w:rsid w:val="00550FB0"/>
    <w:rsid w:val="00645C2C"/>
    <w:rsid w:val="00663CC7"/>
    <w:rsid w:val="00893D43"/>
    <w:rsid w:val="00AD200D"/>
    <w:rsid w:val="00B919F5"/>
    <w:rsid w:val="00BD2D8D"/>
    <w:rsid w:val="00C765A2"/>
    <w:rsid w:val="00C949C6"/>
    <w:rsid w:val="00D557E8"/>
    <w:rsid w:val="00DB5AED"/>
    <w:rsid w:val="00E65759"/>
    <w:rsid w:val="00F95763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F848"/>
  <w15:docId w15:val="{AB2459AA-90E8-4D72-844B-ABDABCB7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3" w:line="220" w:lineRule="auto"/>
      <w:ind w:left="10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62"/>
      <w:ind w:left="15" w:hanging="10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1C4DF5"/>
    <w:pPr>
      <w:ind w:left="720"/>
      <w:contextualSpacing/>
    </w:pPr>
  </w:style>
  <w:style w:type="paragraph" w:styleId="Tijeloteksta">
    <w:name w:val="Body Text"/>
    <w:basedOn w:val="Normal"/>
    <w:link w:val="TijelotekstaChar"/>
    <w:rsid w:val="00E65759"/>
    <w:pPr>
      <w:spacing w:after="0" w:line="240" w:lineRule="auto"/>
      <w:ind w:left="0" w:firstLine="0"/>
      <w:jc w:val="left"/>
    </w:pPr>
    <w:rPr>
      <w:rFonts w:ascii="Arial" w:eastAsia="Times New Roman" w:hAnsi="Arial" w:cs="Arial"/>
      <w:b/>
      <w:color w:val="auto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65759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SKM_C25821051813180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SKM_C25821051813180</dc:title>
  <dc:subject/>
  <dc:creator>Radomir Vujović</dc:creator>
  <cp:keywords/>
  <cp:lastModifiedBy>Tomislav Lokas</cp:lastModifiedBy>
  <cp:revision>5</cp:revision>
  <cp:lastPrinted>2021-09-07T06:55:00Z</cp:lastPrinted>
  <dcterms:created xsi:type="dcterms:W3CDTF">2022-11-15T07:00:00Z</dcterms:created>
  <dcterms:modified xsi:type="dcterms:W3CDTF">2022-11-15T11:38:00Z</dcterms:modified>
</cp:coreProperties>
</file>